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eastAsia="方正小标宋_GBK"/>
          <w:sz w:val="36"/>
          <w:szCs w:val="36"/>
        </w:rPr>
      </w:pPr>
      <w:r>
        <w:rPr>
          <w:rFonts w:hint="eastAsia" w:ascii="方正小标宋_GBK" w:eastAsia="方正小标宋_GBK"/>
          <w:sz w:val="36"/>
          <w:szCs w:val="36"/>
        </w:rPr>
        <w:t>江苏省</w:t>
      </w:r>
      <w:r>
        <w:rPr>
          <w:rFonts w:hint="eastAsia" w:ascii="方正小标宋_GBK" w:eastAsia="方正小标宋_GBK"/>
          <w:sz w:val="36"/>
          <w:szCs w:val="36"/>
          <w:lang w:eastAsia="zh-CN"/>
        </w:rPr>
        <w:t>“</w:t>
      </w:r>
      <w:r>
        <w:rPr>
          <w:rFonts w:hint="eastAsia" w:ascii="方正小标宋_GBK" w:eastAsia="方正小标宋_GBK"/>
          <w:sz w:val="36"/>
          <w:szCs w:val="36"/>
        </w:rPr>
        <w:t>先天性结构畸形</w:t>
      </w:r>
      <w:r>
        <w:rPr>
          <w:rFonts w:hint="eastAsia" w:ascii="方正小标宋_GBK" w:eastAsia="方正小标宋_GBK"/>
          <w:sz w:val="36"/>
          <w:szCs w:val="36"/>
          <w:lang w:eastAsia="zh-CN"/>
        </w:rPr>
        <w:t>”</w:t>
      </w:r>
      <w:r>
        <w:rPr>
          <w:rFonts w:hint="eastAsia" w:ascii="方正小标宋_GBK" w:eastAsia="方正小标宋_GBK"/>
          <w:sz w:val="36"/>
          <w:szCs w:val="36"/>
        </w:rPr>
        <w:t>救助项目</w:t>
      </w:r>
    </w:p>
    <w:p>
      <w:pPr>
        <w:widowControl/>
        <w:jc w:val="center"/>
        <w:rPr>
          <w:rFonts w:hint="eastAsia" w:ascii="方正小标宋_GBK" w:eastAsia="方正小标宋_GBK"/>
          <w:sz w:val="36"/>
          <w:szCs w:val="36"/>
          <w:lang w:val="en-US" w:eastAsia="zh-CN"/>
        </w:rPr>
      </w:pPr>
      <w:r>
        <w:rPr>
          <w:rFonts w:hint="eastAsia" w:ascii="方正小标宋_GBK" w:eastAsia="方正小标宋_GBK"/>
          <w:sz w:val="36"/>
          <w:szCs w:val="36"/>
          <w:lang w:val="en-US" w:eastAsia="zh-CN"/>
        </w:rPr>
        <w:t>立项报告</w:t>
      </w:r>
    </w:p>
    <w:p>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一、项目背景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firstLine="480" w:firstLineChars="200"/>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rPr>
        <w:t>南京儿童医院医学发展医疗救助基金会是由南京医科大学附属南京儿童医院（江苏省红十字儿童医院）发起、社会各界人士参与的非公募基金会。2012年10月经江苏省民政厅和江苏省卫生厅批准成立，是中国社会组织AAA等级单位</w:t>
      </w:r>
      <w:r>
        <w:rPr>
          <w:rFonts w:hint="eastAsia" w:ascii="宋体" w:hAnsi="宋体" w:eastAsia="宋体" w:cs="宋体"/>
          <w:b w:val="0"/>
          <w:bCs w:val="0"/>
          <w:i w:val="0"/>
          <w:iCs w:val="0"/>
          <w:caps w:val="0"/>
          <w:color w:val="333333"/>
          <w:spacing w:val="0"/>
          <w:sz w:val="24"/>
          <w:szCs w:val="24"/>
          <w:lang w:eastAsia="zh-CN"/>
        </w:rPr>
        <w:t>。其</w:t>
      </w:r>
      <w:r>
        <w:rPr>
          <w:rFonts w:hint="eastAsia" w:ascii="宋体" w:hAnsi="宋体" w:eastAsia="宋体" w:cs="宋体"/>
          <w:b w:val="0"/>
          <w:bCs w:val="0"/>
          <w:i w:val="0"/>
          <w:iCs w:val="0"/>
          <w:caps w:val="0"/>
          <w:color w:val="333333"/>
          <w:spacing w:val="0"/>
          <w:sz w:val="24"/>
          <w:szCs w:val="24"/>
        </w:rPr>
        <w:t>宗旨</w:t>
      </w:r>
      <w:r>
        <w:rPr>
          <w:rFonts w:hint="eastAsia" w:ascii="宋体" w:hAnsi="宋体" w:eastAsia="宋体" w:cs="宋体"/>
          <w:b w:val="0"/>
          <w:bCs w:val="0"/>
          <w:i w:val="0"/>
          <w:iCs w:val="0"/>
          <w:caps w:val="0"/>
          <w:color w:val="333333"/>
          <w:spacing w:val="0"/>
          <w:sz w:val="24"/>
          <w:szCs w:val="24"/>
          <w:lang w:eastAsia="zh-CN"/>
        </w:rPr>
        <w:t>：</w:t>
      </w:r>
      <w:r>
        <w:rPr>
          <w:rFonts w:hint="eastAsia" w:ascii="宋体" w:hAnsi="宋体" w:eastAsia="宋体" w:cs="宋体"/>
          <w:b w:val="0"/>
          <w:bCs w:val="0"/>
          <w:i w:val="0"/>
          <w:iCs w:val="0"/>
          <w:caps w:val="0"/>
          <w:color w:val="333333"/>
          <w:spacing w:val="0"/>
          <w:sz w:val="24"/>
          <w:szCs w:val="24"/>
        </w:rPr>
        <w:t>发扬人道主义精神，发挥红十字儿童医院职能，对贫困家庭患大病、重病儿童进行医疗救助，促进儿童健康、家庭幸福和社会稳定，促进儿科医疗事业的健康发展。</w:t>
      </w:r>
    </w:p>
    <w:p>
      <w:pPr>
        <w:keepLines w:val="0"/>
        <w:pageBreakBefore w:val="0"/>
        <w:widowControl/>
        <w:shd w:val="clear" w:color="auto" w:fill="FFFFFF"/>
        <w:kinsoku/>
        <w:wordWrap/>
        <w:overflowPunct/>
        <w:topLinePunct w:val="0"/>
        <w:bidi w:val="0"/>
        <w:snapToGrid/>
        <w:spacing w:line="360" w:lineRule="auto"/>
        <w:ind w:firstLine="480" w:firstLineChars="200"/>
        <w:jc w:val="left"/>
        <w:textAlignment w:val="auto"/>
        <w:rPr>
          <w:rFonts w:hint="eastAsia" w:ascii="宋体" w:hAnsi="宋体" w:eastAsia="宋体" w:cs="宋体"/>
          <w:bCs/>
          <w:kern w:val="0"/>
          <w:sz w:val="24"/>
          <w:szCs w:val="24"/>
        </w:rPr>
      </w:pPr>
      <w:r>
        <w:rPr>
          <w:rFonts w:hint="eastAsia" w:ascii="宋体" w:hAnsi="宋体" w:eastAsia="宋体" w:cs="宋体"/>
          <w:b w:val="0"/>
          <w:bCs w:val="0"/>
          <w:color w:val="494949"/>
          <w:kern w:val="0"/>
          <w:sz w:val="24"/>
          <w:szCs w:val="24"/>
        </w:rPr>
        <w:t>南京</w:t>
      </w:r>
      <w:r>
        <w:rPr>
          <w:rFonts w:hint="eastAsia" w:ascii="宋体" w:hAnsi="宋体" w:eastAsia="宋体" w:cs="宋体"/>
          <w:b w:val="0"/>
          <w:bCs w:val="0"/>
          <w:color w:val="494949"/>
          <w:kern w:val="0"/>
          <w:sz w:val="24"/>
          <w:szCs w:val="24"/>
          <w:lang w:eastAsia="zh-CN"/>
        </w:rPr>
        <w:t>儿童</w:t>
      </w:r>
      <w:r>
        <w:rPr>
          <w:rFonts w:hint="eastAsia" w:ascii="宋体" w:hAnsi="宋体" w:eastAsia="宋体" w:cs="宋体"/>
          <w:b w:val="0"/>
          <w:bCs w:val="0"/>
          <w:color w:val="494949"/>
          <w:kern w:val="0"/>
          <w:sz w:val="24"/>
          <w:szCs w:val="24"/>
        </w:rPr>
        <w:t>医院是</w:t>
      </w:r>
      <w:r>
        <w:rPr>
          <w:rFonts w:hint="eastAsia" w:ascii="宋体" w:hAnsi="宋体" w:eastAsia="宋体" w:cs="宋体"/>
          <w:b w:val="0"/>
          <w:bCs w:val="0"/>
          <w:color w:val="494949"/>
          <w:kern w:val="0"/>
          <w:sz w:val="24"/>
          <w:szCs w:val="24"/>
          <w:lang w:eastAsia="zh-CN"/>
        </w:rPr>
        <w:t>儿科</w:t>
      </w:r>
      <w:r>
        <w:rPr>
          <w:rFonts w:hint="eastAsia" w:ascii="宋体" w:hAnsi="宋体" w:eastAsia="宋体" w:cs="宋体"/>
          <w:b w:val="0"/>
          <w:bCs w:val="0"/>
          <w:color w:val="494949"/>
          <w:kern w:val="0"/>
          <w:sz w:val="24"/>
          <w:szCs w:val="24"/>
        </w:rPr>
        <w:t>综合性三级甲等医院</w:t>
      </w:r>
      <w:r>
        <w:rPr>
          <w:rFonts w:hint="eastAsia" w:ascii="宋体" w:hAnsi="宋体" w:eastAsia="宋体" w:cs="宋体"/>
          <w:b w:val="0"/>
          <w:bCs w:val="0"/>
          <w:color w:val="494949"/>
          <w:kern w:val="0"/>
          <w:sz w:val="24"/>
          <w:szCs w:val="24"/>
          <w:lang w:eastAsia="zh-CN"/>
        </w:rPr>
        <w:t>，现</w:t>
      </w:r>
      <w:r>
        <w:rPr>
          <w:rFonts w:hint="eastAsia" w:ascii="宋体" w:hAnsi="宋体" w:eastAsia="宋体" w:cs="宋体"/>
          <w:b w:val="0"/>
          <w:bCs w:val="0"/>
          <w:color w:val="494949"/>
          <w:kern w:val="0"/>
          <w:sz w:val="24"/>
          <w:szCs w:val="24"/>
        </w:rPr>
        <w:t>有</w:t>
      </w:r>
      <w:r>
        <w:rPr>
          <w:rFonts w:hint="eastAsia" w:ascii="宋体" w:hAnsi="宋体" w:eastAsia="宋体" w:cs="宋体"/>
          <w:b w:val="0"/>
          <w:bCs w:val="0"/>
          <w:color w:val="494949"/>
          <w:kern w:val="0"/>
          <w:sz w:val="24"/>
          <w:szCs w:val="24"/>
          <w:lang w:val="en-US" w:eastAsia="zh-CN"/>
        </w:rPr>
        <w:t>2000</w:t>
      </w:r>
      <w:r>
        <w:rPr>
          <w:rFonts w:hint="eastAsia" w:ascii="宋体" w:hAnsi="宋体" w:eastAsia="宋体" w:cs="宋体"/>
          <w:b w:val="0"/>
          <w:bCs w:val="0"/>
          <w:color w:val="494949"/>
          <w:kern w:val="0"/>
          <w:sz w:val="24"/>
          <w:szCs w:val="24"/>
        </w:rPr>
        <w:t>张床位</w:t>
      </w:r>
      <w:r>
        <w:rPr>
          <w:rFonts w:hint="eastAsia" w:ascii="宋体" w:hAnsi="宋体" w:eastAsia="宋体" w:cs="宋体"/>
          <w:b w:val="0"/>
          <w:bCs w:val="0"/>
          <w:color w:val="494949"/>
          <w:kern w:val="0"/>
          <w:sz w:val="24"/>
          <w:szCs w:val="24"/>
          <w:lang w:eastAsia="zh-CN"/>
        </w:rPr>
        <w:t>，使用率高达</w:t>
      </w:r>
      <w:r>
        <w:rPr>
          <w:rFonts w:hint="eastAsia" w:ascii="宋体" w:hAnsi="宋体" w:eastAsia="宋体" w:cs="宋体"/>
          <w:b w:val="0"/>
          <w:bCs w:val="0"/>
          <w:color w:val="494949"/>
          <w:kern w:val="0"/>
          <w:sz w:val="24"/>
          <w:szCs w:val="24"/>
          <w:lang w:val="en-US" w:eastAsia="zh-CN"/>
        </w:rPr>
        <w:t>100%</w:t>
      </w:r>
      <w:r>
        <w:rPr>
          <w:rFonts w:hint="eastAsia" w:ascii="宋体" w:hAnsi="宋体" w:eastAsia="宋体" w:cs="宋体"/>
          <w:b w:val="0"/>
          <w:bCs w:val="0"/>
          <w:color w:val="494949"/>
          <w:kern w:val="0"/>
          <w:sz w:val="24"/>
          <w:szCs w:val="24"/>
        </w:rPr>
        <w:t>，其中不乏</w:t>
      </w:r>
      <w:r>
        <w:rPr>
          <w:rFonts w:hint="eastAsia" w:ascii="宋体" w:hAnsi="宋体" w:eastAsia="宋体" w:cs="宋体"/>
          <w:b w:val="0"/>
          <w:bCs w:val="0"/>
          <w:color w:val="494949"/>
          <w:kern w:val="0"/>
          <w:sz w:val="24"/>
          <w:szCs w:val="24"/>
          <w:lang w:eastAsia="zh-CN"/>
        </w:rPr>
        <w:t>家庭</w:t>
      </w:r>
      <w:r>
        <w:rPr>
          <w:rFonts w:hint="eastAsia" w:ascii="宋体" w:hAnsi="宋体" w:eastAsia="宋体" w:cs="宋体"/>
          <w:b w:val="0"/>
          <w:bCs w:val="0"/>
          <w:color w:val="494949"/>
          <w:kern w:val="0"/>
          <w:sz w:val="24"/>
          <w:szCs w:val="24"/>
        </w:rPr>
        <w:t>贫困患</w:t>
      </w:r>
      <w:r>
        <w:rPr>
          <w:rFonts w:hint="eastAsia" w:ascii="宋体" w:hAnsi="宋体" w:eastAsia="宋体" w:cs="宋体"/>
          <w:b w:val="0"/>
          <w:bCs w:val="0"/>
          <w:color w:val="494949"/>
          <w:kern w:val="0"/>
          <w:sz w:val="24"/>
          <w:szCs w:val="24"/>
          <w:lang w:eastAsia="zh-CN"/>
        </w:rPr>
        <w:t>儿</w:t>
      </w:r>
      <w:r>
        <w:rPr>
          <w:rFonts w:hint="eastAsia" w:ascii="宋体" w:hAnsi="宋体" w:eastAsia="宋体" w:cs="宋体"/>
          <w:b w:val="0"/>
          <w:bCs w:val="0"/>
          <w:color w:val="494949"/>
          <w:kern w:val="0"/>
          <w:sz w:val="24"/>
          <w:szCs w:val="24"/>
        </w:rPr>
        <w:t>，</w:t>
      </w:r>
      <w:r>
        <w:rPr>
          <w:rFonts w:hint="eastAsia" w:ascii="宋体" w:hAnsi="宋体" w:eastAsia="宋体" w:cs="宋体"/>
          <w:b w:val="0"/>
          <w:bCs w:val="0"/>
          <w:color w:val="494949"/>
          <w:kern w:val="0"/>
          <w:sz w:val="24"/>
          <w:szCs w:val="24"/>
          <w:lang w:eastAsia="zh-CN"/>
        </w:rPr>
        <w:t>甚至</w:t>
      </w:r>
      <w:r>
        <w:rPr>
          <w:rFonts w:hint="eastAsia" w:ascii="宋体" w:hAnsi="宋体" w:eastAsia="宋体" w:cs="宋体"/>
          <w:b w:val="0"/>
          <w:bCs w:val="0"/>
          <w:i w:val="0"/>
          <w:iCs w:val="0"/>
          <w:caps w:val="0"/>
          <w:color w:val="333333"/>
          <w:spacing w:val="0"/>
          <w:sz w:val="24"/>
          <w:szCs w:val="24"/>
        </w:rPr>
        <w:t>有许多患病儿童被迫放弃治疗或被遗弃在医院，给家庭、医院和社会带来沉重负担。本基金会致力于为贫困患大病儿童提供慈善医疗救助，让他们拥有健康幸福的童年。</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为减少先天性结构畸形所致残疾，推进健康扶贫工程，国家卫生健康委妇幼司、中国出生缺陷干预救助基金会启动了实施先天性结构畸形救助项目，主要针对发病率相对较高、有成熟干预技术、治疗效果好的先天性结构畸形，为患儿提供医疗费用补助，减轻患儿家庭医疗负担。</w:t>
      </w:r>
    </w:p>
    <w:p>
      <w:pPr>
        <w:keepLines w:val="0"/>
        <w:pageBreakBefore w:val="0"/>
        <w:widowControl/>
        <w:numPr>
          <w:ilvl w:val="0"/>
          <w:numId w:val="1"/>
        </w:numPr>
        <w:shd w:val="clear" w:color="auto" w:fill="FFFFFF"/>
        <w:kinsoku/>
        <w:wordWrap/>
        <w:overflowPunct/>
        <w:topLinePunct w:val="0"/>
        <w:bidi w:val="0"/>
        <w:snapToGrid/>
        <w:spacing w:line="360" w:lineRule="auto"/>
        <w:jc w:val="left"/>
        <w:textAlignment w:val="auto"/>
        <w:rPr>
          <w:rFonts w:hint="eastAsia" w:ascii="宋体" w:hAnsi="宋体" w:eastAsia="宋体" w:cs="宋体"/>
          <w:b/>
          <w:bCs/>
          <w:color w:val="494949"/>
          <w:kern w:val="0"/>
          <w:sz w:val="24"/>
          <w:szCs w:val="24"/>
        </w:rPr>
      </w:pPr>
      <w:r>
        <w:rPr>
          <w:rFonts w:hint="eastAsia" w:ascii="宋体" w:hAnsi="宋体" w:eastAsia="宋体" w:cs="宋体"/>
          <w:b/>
          <w:bCs/>
          <w:color w:val="494949"/>
          <w:kern w:val="0"/>
          <w:sz w:val="24"/>
          <w:szCs w:val="24"/>
        </w:rPr>
        <w:t>项目分析与论证</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（一）开展出生缺陷防治知识宣传和健康教育，提高公众优生意识。</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（二）减轻贫困患儿家庭医疗负担，促进先天性结构畸形早诊断、早治疗，减少先天性结构畸形所致残疾。</w:t>
      </w:r>
    </w:p>
    <w:p>
      <w:pPr>
        <w:pStyle w:val="2"/>
        <w:keepLines w:val="0"/>
        <w:pageBreakBefore w:val="0"/>
        <w:numPr>
          <w:ilvl w:val="0"/>
          <w:numId w:val="0"/>
        </w:numPr>
        <w:kinsoku/>
        <w:wordWrap/>
        <w:overflowPunct/>
        <w:topLinePunct w:val="0"/>
        <w:bidi w:val="0"/>
        <w:snapToGrid/>
        <w:spacing w:before="156" w:beforeLines="50" w:after="156" w:afterLines="50" w:line="360" w:lineRule="auto"/>
        <w:ind w:leftChars="0"/>
        <w:jc w:val="both"/>
        <w:textAlignment w:val="auto"/>
        <w:rPr>
          <w:rFonts w:hint="eastAsia" w:ascii="宋体" w:hAnsi="宋体" w:eastAsia="宋体" w:cs="宋体"/>
          <w:b/>
          <w:bCs/>
          <w:color w:val="auto"/>
          <w:sz w:val="24"/>
          <w:szCs w:val="24"/>
        </w:rPr>
      </w:pPr>
      <w:r>
        <w:rPr>
          <w:rFonts w:hint="eastAsia" w:ascii="宋体" w:hAnsi="宋体" w:eastAsia="宋体" w:cs="宋体"/>
          <w:b/>
          <w:bCs/>
          <w:color w:val="494949"/>
          <w:kern w:val="0"/>
          <w:sz w:val="24"/>
          <w:szCs w:val="24"/>
        </w:rPr>
        <w:t>三、具体实施计划：</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（一）开展出生缺陷防治知识宣传和健康教育，提高公众优生意识。</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（二）减轻贫困患儿家庭医疗负担，促进先天性结构畸形早诊断、早治疗，减少先天性结构畸形所致残疾。</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二、项目内容</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（一）以先天性结构畸形为重点，开展出生缺陷防治社会宣传和健康教育。</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（二）开展人员培训和业务指导。</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（三）为符合救助条件的先天性结构畸形患儿提供医疗费用补助，减轻贫困患病儿童医疗负担，减少先天性结构畸形所致患儿残疾，提高患儿生活质量。</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三、救助对象及救助标准</w:t>
      </w:r>
    </w:p>
    <w:p>
      <w:pPr>
        <w:keepLines w:val="0"/>
        <w:pageBreakBefore w:val="0"/>
        <w:kinsoku/>
        <w:wordWrap/>
        <w:overflowPunct/>
        <w:topLinePunct w:val="0"/>
        <w:autoSpaceDE w:val="0"/>
        <w:autoSpaceDN w:val="0"/>
        <w:bidi w:val="0"/>
        <w:adjustRightInd w:val="0"/>
        <w:snapToGrid/>
        <w:spacing w:line="360" w:lineRule="auto"/>
        <w:ind w:firstLine="360" w:firstLineChars="15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一</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救助对象</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申请救助的患儿需同时满足下列条件：</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1．临床诊断患有下列6类先天性结构畸形疾病：</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①神经系统先天性畸形；</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②消化系统先天性畸形；</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③泌尿系统及生殖器官先天性畸形；</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④肌肉骨骼系统先天性畸形；</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⑤呼吸系统先天性畸形；</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⑥五官严重先天性结构畸形。</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具体病种详见附件1。</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2．年龄18周岁以下（含）。</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3．家庭经济困难，能够提供低保证、低收入证、建档立卡贫困户证明或村（居）委会等开具的贫困证明（附件2）。</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4．在项目定点医疗机构因上述6类先天性结构畸形疾病，接受诊断、手术、治疗和康复。</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5．医疗费用自付部分超过3000元（含）。</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（二）医疗费用补助范围。药费、床位费、诊查费、检查费、放射费、检验费、治疗费、手术费、输血费、护理费、材料费、输氧费等。</w:t>
      </w:r>
    </w:p>
    <w:p>
      <w:pPr>
        <w:keepLines w:val="0"/>
        <w:pageBreakBefore w:val="0"/>
        <w:widowControl/>
        <w:shd w:val="clear" w:color="auto" w:fill="FFFFFF"/>
        <w:kinsoku/>
        <w:wordWrap/>
        <w:overflowPunct/>
        <w:topLinePunct w:val="0"/>
        <w:bidi w:val="0"/>
        <w:snapToGrid/>
        <w:spacing w:line="360" w:lineRule="auto"/>
        <w:jc w:val="left"/>
        <w:textAlignment w:val="auto"/>
        <w:rPr>
          <w:rFonts w:hint="eastAsia" w:ascii="宋体" w:hAnsi="宋体" w:eastAsia="宋体" w:cs="宋体"/>
          <w:b/>
          <w:bCs/>
          <w:color w:val="494949"/>
          <w:kern w:val="0"/>
          <w:sz w:val="24"/>
          <w:szCs w:val="24"/>
          <w:lang w:eastAsia="zh-CN"/>
        </w:rPr>
      </w:pPr>
      <w:r>
        <w:rPr>
          <w:rFonts w:hint="eastAsia" w:ascii="宋体" w:hAnsi="宋体" w:eastAsia="宋体" w:cs="宋体"/>
          <w:b/>
          <w:bCs/>
          <w:color w:val="494949"/>
          <w:kern w:val="0"/>
          <w:sz w:val="24"/>
          <w:szCs w:val="24"/>
        </w:rPr>
        <w:t>四、项目经费预算</w:t>
      </w:r>
      <w:r>
        <w:rPr>
          <w:rFonts w:hint="eastAsia" w:ascii="宋体" w:hAnsi="宋体" w:eastAsia="宋体" w:cs="宋体"/>
          <w:b/>
          <w:bCs/>
          <w:color w:val="494949"/>
          <w:kern w:val="0"/>
          <w:sz w:val="24"/>
          <w:szCs w:val="24"/>
          <w:lang w:eastAsia="zh-CN"/>
        </w:rPr>
        <w:t>：</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对患儿申请救助日期的上一年度1月1日（含）之后，在定点医疗机构的诊断、手术、治疗和康复医疗费用给予补助。项目根据患儿医疗费用报销之后的自付部分，一次性给予3000元-30000元补助。每位患儿具体补助标准如下：</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1．自付部分超过3000元（含）、小于4000元的，补助额度为3000元。</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2．自付部分超过4000元（含）的，按自付费用的75%予以补助，最高补助额度为30000元（含）。</w:t>
      </w:r>
    </w:p>
    <w:p>
      <w:pPr>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对同一患儿同一疾病分次申请救助的，或同一患儿不同疾病分别申请救助的，项目只补助一次。</w:t>
      </w:r>
    </w:p>
    <w:p>
      <w:pPr>
        <w:keepLines w:val="0"/>
        <w:pageBreakBefore w:val="0"/>
        <w:widowControl/>
        <w:shd w:val="clear" w:color="auto" w:fill="FFFFFF"/>
        <w:kinsoku/>
        <w:wordWrap/>
        <w:overflowPunct/>
        <w:topLinePunct w:val="0"/>
        <w:bidi w:val="0"/>
        <w:snapToGrid/>
        <w:spacing w:line="360" w:lineRule="auto"/>
        <w:jc w:val="left"/>
        <w:textAlignment w:val="auto"/>
        <w:rPr>
          <w:rFonts w:hint="eastAsia" w:ascii="宋体" w:hAnsi="宋体" w:eastAsia="宋体" w:cs="宋体"/>
          <w:b/>
          <w:bCs/>
          <w:color w:val="494949"/>
          <w:kern w:val="0"/>
          <w:sz w:val="24"/>
          <w:szCs w:val="24"/>
        </w:rPr>
      </w:pPr>
      <w:r>
        <w:rPr>
          <w:rFonts w:hint="eastAsia" w:ascii="宋体" w:hAnsi="宋体" w:eastAsia="宋体" w:cs="宋体"/>
          <w:b/>
          <w:bCs/>
          <w:color w:val="494949"/>
          <w:kern w:val="0"/>
          <w:sz w:val="24"/>
          <w:szCs w:val="24"/>
          <w:lang w:val="en-US" w:eastAsia="zh-CN"/>
        </w:rPr>
        <w:t>五</w:t>
      </w:r>
      <w:r>
        <w:rPr>
          <w:rFonts w:hint="eastAsia" w:ascii="宋体" w:hAnsi="宋体" w:eastAsia="宋体" w:cs="宋体"/>
          <w:b/>
          <w:bCs/>
          <w:color w:val="494949"/>
          <w:kern w:val="0"/>
          <w:sz w:val="24"/>
          <w:szCs w:val="24"/>
        </w:rPr>
        <w:t>、预计产生的社会效益</w:t>
      </w:r>
    </w:p>
    <w:p>
      <w:pPr>
        <w:keepLines w:val="0"/>
        <w:pageBreakBefore w:val="0"/>
        <w:widowControl/>
        <w:shd w:val="clear" w:color="auto" w:fill="FFFFFF"/>
        <w:kinsoku/>
        <w:wordWrap/>
        <w:overflowPunct/>
        <w:topLinePunct w:val="0"/>
        <w:bidi w:val="0"/>
        <w:snapToGrid/>
        <w:spacing w:line="360" w:lineRule="auto"/>
        <w:ind w:firstLine="555"/>
        <w:jc w:val="left"/>
        <w:textAlignment w:val="auto"/>
        <w:rPr>
          <w:rFonts w:hint="eastAsia" w:ascii="宋体" w:hAnsi="宋体" w:eastAsia="宋体" w:cs="宋体"/>
          <w:b w:val="0"/>
          <w:bCs w:val="0"/>
          <w:color w:val="494949"/>
          <w:kern w:val="0"/>
          <w:sz w:val="24"/>
          <w:szCs w:val="24"/>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提高各定点项目医疗机构对先天性结构畸形救助项目的重视程度，制定项目考核标准及方案。项目管理机构定期召开工作例会，研讨分析项目进展、问题及对策，定期进行交流讨论。每季度对各定点</w:t>
      </w:r>
      <w:r>
        <w:rPr>
          <w:rFonts w:hint="eastAsia" w:ascii="宋体" w:hAnsi="宋体" w:eastAsia="宋体" w:cs="宋体"/>
          <w:b w:val="0"/>
          <w:bCs w:val="0"/>
          <w:sz w:val="24"/>
          <w:szCs w:val="24"/>
          <w:lang w:val="en-US" w:eastAsia="zh-CN"/>
        </w:rPr>
        <w:t>医疗机构进行项目通报，通过科学有效的制度安排，为先天性结构畸形救助项目提供制度保障。</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利用“预防出生缺陷日”主题宣传等活动，</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通过多形式、多层次、多手段在全</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省</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范围内普及出生缺陷健康防治</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t>干预救助知识</w:t>
      </w:r>
      <w:r>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t>及先天性结构畸形救助政策和流程，做到预防、干预、治疗、救助各环节环环相扣。</w:t>
      </w:r>
      <w:r>
        <w:rPr>
          <w:rFonts w:hint="eastAsia" w:ascii="宋体" w:hAnsi="宋体" w:eastAsia="宋体" w:cs="宋体"/>
          <w:b w:val="0"/>
          <w:bCs w:val="0"/>
          <w:color w:val="494949"/>
          <w:kern w:val="0"/>
          <w:sz w:val="24"/>
          <w:szCs w:val="24"/>
        </w:rPr>
        <w:t>基金会将</w:t>
      </w:r>
      <w:r>
        <w:rPr>
          <w:rFonts w:hint="eastAsia" w:ascii="宋体" w:hAnsi="宋体" w:eastAsia="宋体" w:cs="宋体"/>
          <w:b w:val="0"/>
          <w:bCs w:val="0"/>
          <w:color w:val="494949"/>
          <w:kern w:val="0"/>
          <w:sz w:val="24"/>
          <w:szCs w:val="24"/>
          <w:lang w:eastAsia="zh-CN"/>
        </w:rPr>
        <w:t>用该项目</w:t>
      </w:r>
      <w:r>
        <w:rPr>
          <w:rFonts w:hint="eastAsia" w:ascii="宋体" w:hAnsi="宋体" w:eastAsia="宋体" w:cs="宋体"/>
          <w:b w:val="0"/>
          <w:bCs w:val="0"/>
          <w:color w:val="494949"/>
          <w:kern w:val="0"/>
          <w:sz w:val="24"/>
          <w:szCs w:val="24"/>
        </w:rPr>
        <w:t>资金</w:t>
      </w:r>
      <w:r>
        <w:rPr>
          <w:rFonts w:hint="eastAsia" w:ascii="宋体" w:hAnsi="宋体" w:eastAsia="宋体" w:cs="宋体"/>
          <w:b w:val="0"/>
          <w:bCs w:val="0"/>
          <w:color w:val="494949"/>
          <w:kern w:val="0"/>
          <w:sz w:val="24"/>
          <w:szCs w:val="24"/>
          <w:lang w:eastAsia="zh-CN"/>
        </w:rPr>
        <w:t>全部</w:t>
      </w:r>
      <w:r>
        <w:rPr>
          <w:rFonts w:hint="eastAsia" w:ascii="宋体" w:hAnsi="宋体" w:eastAsia="宋体" w:cs="宋体"/>
          <w:b w:val="0"/>
          <w:bCs w:val="0"/>
          <w:color w:val="494949"/>
          <w:kern w:val="0"/>
          <w:sz w:val="24"/>
          <w:szCs w:val="24"/>
        </w:rPr>
        <w:t>用于符合受助条件患者，向困难患者伸出援助之手，让他们拥有健康幸福的生活，为和谐社会贡献一份力量。</w:t>
      </w:r>
    </w:p>
    <w:p>
      <w:pPr>
        <w:keepLines w:val="0"/>
        <w:pageBreakBefore w:val="0"/>
        <w:widowControl/>
        <w:shd w:val="clear" w:color="auto" w:fill="FFFFFF"/>
        <w:kinsoku/>
        <w:wordWrap/>
        <w:overflowPunct/>
        <w:topLinePunct w:val="0"/>
        <w:bidi w:val="0"/>
        <w:snapToGrid/>
        <w:spacing w:line="360" w:lineRule="auto"/>
        <w:ind w:firstLine="555"/>
        <w:jc w:val="left"/>
        <w:textAlignment w:val="auto"/>
        <w:rPr>
          <w:rFonts w:hint="eastAsia" w:ascii="宋体" w:hAnsi="宋体" w:eastAsia="宋体" w:cs="宋体"/>
          <w:b w:val="0"/>
          <w:bCs w:val="0"/>
          <w:color w:val="494949"/>
          <w:kern w:val="0"/>
          <w:sz w:val="24"/>
          <w:szCs w:val="24"/>
          <w:lang w:val="en-US" w:eastAsia="zh-CN"/>
        </w:rPr>
      </w:pPr>
      <w:r>
        <w:rPr>
          <w:rFonts w:hint="eastAsia" w:ascii="宋体" w:hAnsi="宋体" w:eastAsia="宋体" w:cs="宋体"/>
          <w:b w:val="0"/>
          <w:bCs w:val="0"/>
          <w:color w:val="494949"/>
          <w:kern w:val="0"/>
          <w:sz w:val="24"/>
          <w:szCs w:val="24"/>
          <w:lang w:val="en-US" w:eastAsia="zh-CN"/>
        </w:rPr>
        <w:t xml:space="preserve"> </w:t>
      </w:r>
    </w:p>
    <w:p>
      <w:pPr>
        <w:keepLines w:val="0"/>
        <w:pageBreakBefore w:val="0"/>
        <w:kinsoku/>
        <w:wordWrap/>
        <w:overflowPunct/>
        <w:topLinePunct w:val="0"/>
        <w:bidi w:val="0"/>
        <w:snapToGrid/>
        <w:spacing w:line="360" w:lineRule="auto"/>
        <w:ind w:firstLine="2880" w:firstLineChars="1200"/>
        <w:jc w:val="righ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南京儿童医院医学发展医疗救助基金会</w:t>
      </w:r>
    </w:p>
    <w:p>
      <w:pPr>
        <w:keepLines w:val="0"/>
        <w:pageBreakBefore w:val="0"/>
        <w:kinsoku/>
        <w:wordWrap/>
        <w:overflowPunct/>
        <w:topLinePunct w:val="0"/>
        <w:bidi w:val="0"/>
        <w:snapToGrid/>
        <w:spacing w:line="360" w:lineRule="auto"/>
        <w:ind w:firstLine="5760" w:firstLineChars="2400"/>
        <w:jc w:val="right"/>
        <w:textAlignment w:val="auto"/>
        <w:rPr>
          <w:rFonts w:hint="eastAsia" w:ascii="宋体" w:hAnsi="宋体" w:eastAsia="宋体" w:cs="宋体"/>
          <w:b w:val="0"/>
          <w:bCs w:val="0"/>
          <w:sz w:val="24"/>
          <w:szCs w:val="24"/>
          <w:lang w:val="en-US" w:eastAsia="zh-CN"/>
        </w:rPr>
      </w:pPr>
      <w:bookmarkStart w:id="0" w:name="_GoBack"/>
      <w:bookmarkEnd w:id="0"/>
      <w:r>
        <w:rPr>
          <w:rFonts w:hint="eastAsia" w:ascii="宋体" w:hAnsi="宋体" w:eastAsia="宋体" w:cs="宋体"/>
          <w:b w:val="0"/>
          <w:bCs w:val="0"/>
          <w:sz w:val="24"/>
          <w:szCs w:val="24"/>
          <w:lang w:val="en-US" w:eastAsia="zh-CN"/>
        </w:rPr>
        <w:t>2019年4月</w:t>
      </w:r>
    </w:p>
    <w:p>
      <w:pPr>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i w:val="0"/>
          <w:caps w:val="0"/>
          <w:color w:val="000000" w:themeColor="text1"/>
          <w:spacing w:val="0"/>
          <w:sz w:val="24"/>
          <w:szCs w:val="24"/>
          <w:shd w:val="clear" w:fill="FFFFFF"/>
          <w:lang w:eastAsia="zh-CN"/>
          <w14:textFill>
            <w14:solidFill>
              <w14:schemeClr w14:val="tx1"/>
            </w14:solidFill>
          </w14:textFill>
        </w:rPr>
      </w:pPr>
    </w:p>
    <w:p>
      <w:pPr>
        <w:keepLines w:val="0"/>
        <w:pageBreakBefore w:val="0"/>
        <w:numPr>
          <w:ilvl w:val="0"/>
          <w:numId w:val="2"/>
        </w:numPr>
        <w:kinsoku/>
        <w:wordWrap/>
        <w:overflowPunct/>
        <w:topLinePunct w:val="0"/>
        <w:bidi w:val="0"/>
        <w:snapToGrid/>
        <w:spacing w:line="360" w:lineRule="auto"/>
        <w:textAlignment w:val="auto"/>
      </w:pPr>
      <w:r>
        <w:rPr>
          <w:rFonts w:hint="eastAsia" w:ascii="宋体" w:hAnsi="宋体" w:eastAsia="宋体" w:cs="宋体"/>
          <w:bCs/>
          <w:kern w:val="0"/>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21724"/>
    <w:multiLevelType w:val="singleLevel"/>
    <w:tmpl w:val="71721724"/>
    <w:lvl w:ilvl="0" w:tentative="0">
      <w:start w:val="7"/>
      <w:numFmt w:val="chineseCounting"/>
      <w:suff w:val="nothing"/>
      <w:lvlText w:val="%1、"/>
      <w:lvlJc w:val="left"/>
      <w:rPr>
        <w:rFonts w:hint="eastAsia"/>
      </w:rPr>
    </w:lvl>
  </w:abstractNum>
  <w:abstractNum w:abstractNumId="1">
    <w:nsid w:val="78F24110"/>
    <w:multiLevelType w:val="singleLevel"/>
    <w:tmpl w:val="78F2411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C7877"/>
    <w:rsid w:val="311E5E1C"/>
    <w:rsid w:val="3DD638DA"/>
    <w:rsid w:val="48766A1E"/>
    <w:rsid w:val="54A605BF"/>
    <w:rsid w:val="66D13C68"/>
    <w:rsid w:val="670C336F"/>
    <w:rsid w:val="6804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spacing w:line="0" w:lineRule="atLeast"/>
      <w:jc w:val="center"/>
      <w:outlineLvl w:val="0"/>
    </w:pPr>
    <w:rPr>
      <w:rFonts w:ascii="仿宋_GB2312" w:eastAsia="仿宋_GB2312"/>
      <w:b/>
      <w:bCs/>
      <w:color w:val="FF0000"/>
      <w:szCs w:val="20"/>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WPS_1488443699</cp:lastModifiedBy>
  <dcterms:modified xsi:type="dcterms:W3CDTF">2021-10-27T07:42:04Z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